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NewRomanPS-BoldMT" w:hAnsi="TimesNewRomanPS-BoldMT" w:cs="TimesNewRomanPS-BoldMT"/>
          <w:b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  <w:t>Allegato C)</w:t>
      </w:r>
    </w:p>
    <w:p>
      <w:pPr>
        <w:pStyle w:val="Normal"/>
        <w:spacing w:lineRule="auto" w:line="240" w:before="0" w:after="0"/>
        <w:rPr>
          <w:rFonts w:ascii="TrebuchetMS-Bold" w:hAnsi="TrebuchetMS-Bold" w:cs="TrebuchetMS-Bold"/>
          <w:b/>
          <w:b/>
          <w:bCs/>
          <w:sz w:val="28"/>
          <w:szCs w:val="28"/>
        </w:rPr>
      </w:pPr>
      <w:r>
        <w:rPr>
          <w:rFonts w:cs="TrebuchetMS-Bold" w:ascii="TrebuchetMS-Bold" w:hAnsi="TrebuchetMS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rebuchetMS-Bold" w:hAnsi="TrebuchetMS-Bold" w:cs="TrebuchetMS-Bold"/>
          <w:b/>
          <w:b/>
          <w:bCs/>
          <w:sz w:val="28"/>
          <w:szCs w:val="28"/>
        </w:rPr>
      </w:pPr>
      <w:r>
        <w:rPr>
          <w:rFonts w:cs="TrebuchetMS-Bold" w:ascii="TrebuchetMS-Bold" w:hAnsi="TrebuchetMS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MS-Bold" w:hAnsi="TrebuchetMS-Bold" w:cs="TrebuchetMS-Bold"/>
          <w:b/>
          <w:b/>
          <w:bCs/>
          <w:sz w:val="28"/>
          <w:szCs w:val="28"/>
        </w:rPr>
      </w:pPr>
      <w:r>
        <w:rPr>
          <w:rFonts w:cs="TrebuchetMS-Bold" w:ascii="TrebuchetMS-Bold" w:hAnsi="TrebuchetMS-Bold"/>
          <w:b/>
          <w:bCs/>
          <w:sz w:val="28"/>
          <w:szCs w:val="28"/>
        </w:rPr>
        <w:t>Comune di Ponte nelle Alpi</w:t>
      </w:r>
    </w:p>
    <w:p>
      <w:pPr>
        <w:pStyle w:val="Normal"/>
        <w:spacing w:lineRule="auto" w:line="240" w:before="0" w:after="0"/>
        <w:jc w:val="center"/>
        <w:rPr>
          <w:rFonts w:ascii="TrebuchetMS" w:hAnsi="TrebuchetMS" w:cs="TrebuchetMS"/>
          <w:sz w:val="20"/>
          <w:szCs w:val="20"/>
        </w:rPr>
      </w:pPr>
      <w:r>
        <w:rPr>
          <w:rFonts w:cs="TrebuchetMS" w:ascii="TrebuchetMS" w:hAnsi="TrebuchetMS"/>
          <w:sz w:val="20"/>
          <w:szCs w:val="20"/>
        </w:rPr>
        <w:t>Provincia di Belluno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sz w:val="28"/>
          <w:szCs w:val="28"/>
        </w:rPr>
      </w:pPr>
      <w:r>
        <w:rPr>
          <w:rFonts w:cs="TimesNewRomanPS-BoldMT" w:ascii="TimesNewRomanPS-BoldMT" w:hAnsi="TimesNewRomanPS-BoldMT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sz w:val="28"/>
          <w:szCs w:val="28"/>
        </w:rPr>
      </w:pPr>
      <w:r>
        <w:rPr>
          <w:rFonts w:cs="TimesNewRomanPS-BoldMT" w:ascii="TimesNewRomanPS-BoldMT" w:hAnsi="TimesNewRomanPS-BoldMT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8"/>
          <w:szCs w:val="28"/>
        </w:rPr>
      </w:pPr>
      <w:r>
        <w:rPr>
          <w:rFonts w:cs="TimesNewRomanPS-BoldMT" w:ascii="TimesNewRomanPS-BoldMT" w:hAnsi="TimesNewRomanPS-BoldMT"/>
          <w:b/>
          <w:bCs/>
          <w:sz w:val="28"/>
          <w:szCs w:val="28"/>
        </w:rPr>
        <w:t>ELENCO DI CASI SPECIFICI PER I QUALI È PREVISTA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8"/>
          <w:szCs w:val="28"/>
        </w:rPr>
      </w:pPr>
      <w:r>
        <w:rPr>
          <w:rFonts w:cs="TimesNewRomanPS-BoldMT" w:ascii="TimesNewRomanPS-BoldMT" w:hAnsi="TimesNewRomanPS-BoldMT"/>
          <w:b/>
          <w:bCs/>
          <w:sz w:val="28"/>
          <w:szCs w:val="28"/>
        </w:rPr>
        <w:t>L’ASSIMILAZIONE QUALITATIVA AI RIFIUTI URBANI</w:t>
      </w:r>
    </w:p>
    <w:p>
      <w:pPr>
        <w:pStyle w:val="Normal"/>
        <w:spacing w:lineRule="auto" w:line="240" w:before="0" w:after="0"/>
        <w:jc w:val="center"/>
        <w:rPr>
          <w:rFonts w:ascii="TimesNewRomanPS-BoldMT" w:hAnsi="TimesNewRomanPS-BoldMT" w:cs="TimesNewRomanPS-BoldMT"/>
          <w:b/>
          <w:b/>
          <w:bCs/>
          <w:sz w:val="20"/>
          <w:szCs w:val="20"/>
        </w:rPr>
      </w:pPr>
      <w:r>
        <w:rPr>
          <w:rFonts w:cs="TimesNewRomanPS-BoldMT" w:ascii="TimesNewRomanPS-BoldMT" w:hAnsi="TimesNewRomanPS-BoldMT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cs="TimesNewRomanPS-BoldMT" w:ascii="TimesNewRomanPS-BoldMT" w:hAnsi="TimesNewRomanPS-BoldMT"/>
          <w:b/>
          <w:bCs/>
          <w:sz w:val="20"/>
          <w:szCs w:val="20"/>
        </w:rPr>
        <w:t>(</w:t>
      </w:r>
      <w:r>
        <w:rPr>
          <w:rFonts w:cs="TimesNewRomanPSMT" w:ascii="TimesNewRomanPSMT" w:hAnsi="TimesNewRomanPSMT"/>
          <w:sz w:val="20"/>
          <w:szCs w:val="20"/>
        </w:rPr>
        <w:t>ART. 10 COMMA 3 DEL REGOLAMENTO COMUNALE PER LA GESTIONE DEI RIFIUTI URBANI)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7"/>
        <w:gridCol w:w="1702"/>
        <w:gridCol w:w="3111"/>
      </w:tblGrid>
      <w:tr>
        <w:trPr>
          <w:trHeight w:val="673" w:hRule="atLeast"/>
        </w:trPr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/>
                <w:bCs/>
                <w:sz w:val="28"/>
                <w:szCs w:val="28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8"/>
                <w:szCs w:val="28"/>
              </w:rPr>
              <w:t>Attività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/>
                <w:bCs/>
                <w:sz w:val="28"/>
                <w:szCs w:val="28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8"/>
                <w:szCs w:val="28"/>
              </w:rPr>
              <w:t>Tipologia Rifiuto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/>
                <w:bCs/>
                <w:sz w:val="28"/>
                <w:szCs w:val="28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8"/>
                <w:szCs w:val="28"/>
              </w:rPr>
              <w:t>Codici CER</w:t>
            </w:r>
          </w:p>
        </w:tc>
        <w:tc>
          <w:tcPr>
            <w:tcW w:w="3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/>
                <w:b/>
                <w:bCs/>
                <w:sz w:val="28"/>
                <w:szCs w:val="28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8"/>
                <w:szCs w:val="28"/>
              </w:rPr>
              <w:t>Cautele</w:t>
            </w:r>
          </w:p>
        </w:tc>
      </w:tr>
      <w:tr>
        <w:trPr/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Estetista, parrucchiera/e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Contenitori contenenti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prodotti per la cura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della persona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15 01 02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15 01 04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15 01 07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  <w:tc>
          <w:tcPr>
            <w:tcW w:w="3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I contenitori deve esser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completamente vuotati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del prodotto</w:t>
            </w:r>
          </w:p>
        </w:tc>
      </w:tr>
      <w:tr>
        <w:trPr/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trike/>
                <w:color w:val="FF0000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trike/>
                <w:color w:val="FF0000"/>
                <w:sz w:val="24"/>
                <w:szCs w:val="24"/>
              </w:rPr>
              <w:t>Impianti pubblici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trike/>
                <w:color w:val="FF0000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trike/>
                <w:color w:val="FF0000"/>
                <w:sz w:val="24"/>
                <w:szCs w:val="24"/>
              </w:rPr>
              <w:t>depurazione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trike/>
                <w:color w:val="FF0000"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trike/>
                <w:color w:val="FF0000"/>
                <w:sz w:val="24"/>
                <w:szCs w:val="24"/>
              </w:rPr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trike/>
                <w:color w:val="FF0000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trike/>
                <w:color w:val="FF0000"/>
                <w:sz w:val="24"/>
                <w:szCs w:val="24"/>
              </w:rPr>
              <w:t>Vaglio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trike/>
                <w:color w:val="FF0000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trike/>
                <w:color w:val="FF0000"/>
                <w:sz w:val="24"/>
                <w:szCs w:val="24"/>
              </w:rPr>
              <w:t>19 08 01 -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trike/>
                <w:color w:val="FF0000"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trike/>
                <w:color w:val="FF0000"/>
                <w:sz w:val="24"/>
                <w:szCs w:val="24"/>
              </w:rPr>
            </w:r>
          </w:p>
        </w:tc>
        <w:tc>
          <w:tcPr>
            <w:tcW w:w="3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 xml:space="preserve">Studi medici,  </w:t>
            </w:r>
            <w:r>
              <w:rPr>
                <w:rFonts w:cs="TimesNewRomanPSMT" w:ascii="TimesNewRomanPSMT" w:hAnsi="TimesNewRomanPSMT"/>
                <w:strike/>
                <w:color w:val="FF0000"/>
                <w:sz w:val="24"/>
                <w:szCs w:val="24"/>
              </w:rPr>
              <w:t>dentistici e</w:t>
            </w:r>
            <w:r>
              <w:rPr>
                <w:rFonts w:cs="TimesNewRomanPSMT" w:ascii="TimesNewRomanPSMT" w:hAnsi="TimesNewRomanPSMT"/>
                <w:color w:val="FF0000"/>
                <w:sz w:val="24"/>
                <w:szCs w:val="24"/>
              </w:rPr>
              <w:t xml:space="preserve"> odontoiatrici e odontotecnici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Cs/>
                <w:sz w:val="24"/>
                <w:szCs w:val="24"/>
              </w:rPr>
              <w:t xml:space="preserve">Lenzuola, indumenti monouso, assorbenti igienici, bende, </w:t>
            </w:r>
            <w:r>
              <w:rPr>
                <w:rFonts w:cs="TimesNewRomanPS-BoldMT" w:ascii="TimesNewRomanPS-BoldMT" w:hAnsi="TimesNewRomanPS-BoldMT"/>
                <w:bCs/>
                <w:color w:val="FF0000"/>
                <w:sz w:val="24"/>
                <w:szCs w:val="24"/>
              </w:rPr>
              <w:t>ingessature, calchi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18 01 04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18 02 03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  <w:tc>
          <w:tcPr>
            <w:tcW w:w="3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Non deve trattarsi di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rifiuto a rischio infettivo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</w:tr>
      <w:tr>
        <w:trPr>
          <w:trHeight w:val="768" w:hRule="atLeast"/>
        </w:trPr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Spazzamento delle strade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e dei piazzali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Materiali di risulta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dallo spazzamento di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strade e piazzali anche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privati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20 03 03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  <w:tc>
          <w:tcPr>
            <w:tcW w:w="3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Le aree non devono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essere soggette a depositi</w:t>
            </w:r>
          </w:p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o ricadute di sostanze</w:t>
            </w:r>
          </w:p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sz w:val="24"/>
                <w:szCs w:val="24"/>
              </w:rPr>
              <w:t>pericolose</w:t>
            </w:r>
          </w:p>
        </w:tc>
      </w:tr>
      <w:tr>
        <w:trPr>
          <w:trHeight w:val="1500" w:hRule="atLeast"/>
        </w:trPr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color w:val="FF0000"/>
                <w:sz w:val="24"/>
                <w:szCs w:val="24"/>
              </w:rPr>
              <w:t>Laboratori Ortopedici</w:t>
            </w:r>
          </w:p>
        </w:tc>
        <w:tc>
          <w:tcPr>
            <w:tcW w:w="2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Cs/>
                <w:color w:val="FF0000"/>
                <w:sz w:val="24"/>
                <w:szCs w:val="24"/>
              </w:rPr>
            </w:pPr>
            <w:r>
              <w:rPr>
                <w:rFonts w:cs="TimesNewRomanPSMT" w:ascii="TimesNewRomanPSMT" w:hAnsi="TimesNewRomanPSMT"/>
                <w:color w:val="FF0000"/>
                <w:sz w:val="24"/>
                <w:szCs w:val="24"/>
              </w:rPr>
              <w:t>Materiale di risulta dalla realizzaione di plantari e altri prodotti ortopedici su misura</w:t>
            </w:r>
          </w:p>
        </w:tc>
        <w:tc>
          <w:tcPr>
            <w:tcW w:w="17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Cs/>
                <w:color w:val="FF0000"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Cs/>
                <w:color w:val="FF0000"/>
                <w:sz w:val="24"/>
                <w:szCs w:val="24"/>
              </w:rPr>
              <w:t>07 02 13</w:t>
            </w:r>
          </w:p>
        </w:tc>
        <w:tc>
          <w:tcPr>
            <w:tcW w:w="31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NewRomanPS-BoldMT" w:hAnsi="TimesNewRomanPS-BoldMT" w:cs="TimesNewRomanPS-BoldMT"/>
                <w:b/>
                <w:b/>
                <w:bCs/>
                <w:sz w:val="24"/>
                <w:szCs w:val="2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-BoldMT">
    <w:charset w:val="00"/>
    <w:family w:val="roman"/>
    <w:pitch w:val="variable"/>
  </w:font>
  <w:font w:name="TrebuchetMS-Bold">
    <w:charset w:val="00"/>
    <w:family w:val="roman"/>
    <w:pitch w:val="variable"/>
  </w:font>
  <w:font w:name="TrebuchetMS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f03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LibreOffice/5.1.2.2$Windows_X86_64 LibreOffice_project/d3bf12ecb743fc0d20e0be0c58ca359301eb705f</Application>
  <Pages>1</Pages>
  <Words>156</Words>
  <CharactersWithSpaces>894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2016-12-01T15:53:00Z</dcterms:created>
  <dc:creator>ponteservizi</dc:creator>
  <dc:description/>
  <dc:language>it-IT</dc:language>
  <cp:lastModifiedBy>ponteservizi</cp:lastModifiedBy>
  <dcterms:modified xsi:type="dcterms:W3CDTF">2016-12-01T16:03:00Z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